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AA" w:rsidRDefault="00680C1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AB0D5B">
      <w:pPr>
        <w:spacing w:after="17" w:line="259" w:lineRule="auto"/>
        <w:ind w:left="56" w:right="0" w:firstLine="0"/>
        <w:jc w:val="center"/>
      </w:pPr>
      <w:r w:rsidRPr="002E44E3">
        <w:rPr>
          <w:rFonts w:ascii="Courier New" w:eastAsia="Calibri" w:hAnsi="Courier New" w:cs="Courier New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7DCDCEF" wp14:editId="1F14A61A">
            <wp:simplePos x="0" y="0"/>
            <wp:positionH relativeFrom="column">
              <wp:posOffset>1946275</wp:posOffset>
            </wp:positionH>
            <wp:positionV relativeFrom="paragraph">
              <wp:posOffset>5715</wp:posOffset>
            </wp:positionV>
            <wp:extent cx="2295525" cy="2209800"/>
            <wp:effectExtent l="0" t="0" r="9525" b="0"/>
            <wp:wrapThrough wrapText="bothSides">
              <wp:wrapPolygon edited="0">
                <wp:start x="21600" y="21600"/>
                <wp:lineTo x="21600" y="186"/>
                <wp:lineTo x="90" y="186"/>
                <wp:lineTo x="90" y="21600"/>
                <wp:lineTo x="21600" y="21600"/>
              </wp:wrapPolygon>
            </wp:wrapThrough>
            <wp:docPr id="7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95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14">
        <w:rPr>
          <w:b/>
          <w:color w:val="FF0000"/>
        </w:rPr>
        <w:t xml:space="preserve"> 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5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  <w:color w:val="FF0000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AB0D5B" w:rsidRDefault="00AB0D5B">
      <w:pPr>
        <w:spacing w:after="14" w:line="259" w:lineRule="auto"/>
        <w:ind w:left="0" w:right="0" w:firstLine="0"/>
        <w:jc w:val="center"/>
        <w:rPr>
          <w:b/>
        </w:rPr>
      </w:pPr>
    </w:p>
    <w:p w:rsidR="00AB0D5B" w:rsidRDefault="00AB0D5B">
      <w:pPr>
        <w:spacing w:after="14" w:line="259" w:lineRule="auto"/>
        <w:ind w:left="0" w:right="0" w:firstLine="0"/>
        <w:jc w:val="center"/>
      </w:pPr>
    </w:p>
    <w:p w:rsidR="00D800AA" w:rsidRDefault="00680C14">
      <w:pPr>
        <w:spacing w:after="129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AB0D5B" w:rsidRDefault="00AB0D5B">
      <w:pPr>
        <w:spacing w:after="129" w:line="259" w:lineRule="auto"/>
        <w:ind w:left="0" w:right="0" w:firstLine="0"/>
        <w:jc w:val="center"/>
        <w:rPr>
          <w:b/>
        </w:rPr>
      </w:pPr>
    </w:p>
    <w:p w:rsidR="00AB0D5B" w:rsidRDefault="00AB0D5B">
      <w:pPr>
        <w:spacing w:after="129" w:line="259" w:lineRule="auto"/>
        <w:ind w:left="0" w:right="0" w:firstLine="0"/>
        <w:jc w:val="center"/>
        <w:rPr>
          <w:b/>
        </w:rPr>
      </w:pPr>
    </w:p>
    <w:p w:rsidR="00AB0D5B" w:rsidRDefault="00AB0D5B">
      <w:pPr>
        <w:spacing w:after="129" w:line="259" w:lineRule="auto"/>
        <w:ind w:left="0" w:right="0" w:firstLine="0"/>
        <w:jc w:val="center"/>
      </w:pPr>
    </w:p>
    <w:p w:rsidR="00D800AA" w:rsidRPr="00AB0D5B" w:rsidRDefault="00680C14">
      <w:pPr>
        <w:pStyle w:val="Nadpis1"/>
        <w:rPr>
          <w:sz w:val="32"/>
        </w:rPr>
      </w:pPr>
      <w:r w:rsidRPr="00AB0D5B">
        <w:rPr>
          <w:sz w:val="32"/>
        </w:rPr>
        <w:t xml:space="preserve">VŠEOBECNE  ZÁVÄZNÉ NARIADENIE OBCE </w:t>
      </w:r>
      <w:r w:rsidR="002E44E3" w:rsidRPr="00AB0D5B">
        <w:rPr>
          <w:sz w:val="32"/>
        </w:rPr>
        <w:t>RENČIŠOV</w:t>
      </w:r>
      <w:r w:rsidRPr="00AB0D5B">
        <w:rPr>
          <w:sz w:val="32"/>
        </w:rPr>
        <w:t xml:space="preserve"> </w:t>
      </w:r>
    </w:p>
    <w:p w:rsidR="00D800AA" w:rsidRPr="00AB0D5B" w:rsidRDefault="00680C14">
      <w:pPr>
        <w:spacing w:after="82" w:line="259" w:lineRule="auto"/>
        <w:ind w:left="0" w:right="0" w:firstLine="0"/>
        <w:jc w:val="center"/>
        <w:rPr>
          <w:sz w:val="24"/>
        </w:rPr>
      </w:pPr>
      <w:r w:rsidRPr="00AB0D5B">
        <w:rPr>
          <w:b/>
          <w:sz w:val="24"/>
        </w:rPr>
        <w:t xml:space="preserve"> </w:t>
      </w:r>
    </w:p>
    <w:p w:rsidR="00D800AA" w:rsidRPr="00AB0D5B" w:rsidRDefault="00680C14">
      <w:pPr>
        <w:spacing w:after="0" w:line="259" w:lineRule="auto"/>
        <w:ind w:right="60"/>
        <w:jc w:val="center"/>
        <w:rPr>
          <w:sz w:val="24"/>
        </w:rPr>
      </w:pPr>
      <w:r w:rsidRPr="00AB0D5B">
        <w:rPr>
          <w:b/>
          <w:sz w:val="28"/>
        </w:rPr>
        <w:t xml:space="preserve">O OCHRANNOM PÁSME POHREBISKA V OBCI </w:t>
      </w:r>
    </w:p>
    <w:p w:rsidR="00D800AA" w:rsidRDefault="00680C14">
      <w:pPr>
        <w:spacing w:after="15" w:line="259" w:lineRule="auto"/>
        <w:ind w:left="0" w:right="2" w:firstLine="0"/>
        <w:jc w:val="center"/>
      </w:pPr>
      <w:r>
        <w:rPr>
          <w:b/>
        </w:rPr>
        <w:t xml:space="preserve"> 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6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D800AA">
      <w:pPr>
        <w:pStyle w:val="Nadpis2"/>
        <w:ind w:right="61"/>
      </w:pP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AB0D5B">
      <w:pPr>
        <w:ind w:right="44"/>
      </w:pPr>
      <w:r>
        <w:lastRenderedPageBreak/>
        <w:t>O</w:t>
      </w:r>
      <w:r w:rsidR="00680C14">
        <w:t xml:space="preserve">bec </w:t>
      </w:r>
      <w:r w:rsidR="002E44E3">
        <w:t>Renčišov</w:t>
      </w:r>
      <w:r w:rsidR="00680C14">
        <w:t xml:space="preserve">, v súlade s ustanovením §4 odsek 5 písmeno a) bod 6 zákona SNR   č. 369/1990 Zb. o obecnom zriadení v znení neskorších predpisov (ďalej aj </w:t>
      </w:r>
      <w:r w:rsidR="00680C14">
        <w:rPr>
          <w:i/>
        </w:rPr>
        <w:t>„zákon o obecnom zriadení“</w:t>
      </w:r>
      <w:r w:rsidR="00680C14">
        <w:t xml:space="preserve">) a  v súlade s ustanovením §15 odsek 7 zákona č. 131/2010 Z. z. o pohrebníctve v znení neskorších predpisov (ďalej aj </w:t>
      </w:r>
      <w:r w:rsidR="00680C14">
        <w:rPr>
          <w:i/>
        </w:rPr>
        <w:t>„zákon o pohrebníctve“</w:t>
      </w:r>
      <w:r w:rsidR="00680C14">
        <w:t xml:space="preserve">) vydáva toto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pStyle w:val="Nadpis1"/>
        <w:spacing w:after="31"/>
        <w:ind w:right="55"/>
      </w:pPr>
      <w:r>
        <w:t xml:space="preserve">VŠEOBECNE ZÁVÄZNÉ NARIADENIE </w:t>
      </w:r>
    </w:p>
    <w:p w:rsidR="00D800AA" w:rsidRDefault="00680C14">
      <w:pPr>
        <w:spacing w:after="0" w:line="259" w:lineRule="auto"/>
        <w:ind w:right="56"/>
        <w:jc w:val="center"/>
      </w:pPr>
      <w:r>
        <w:rPr>
          <w:b/>
          <w:sz w:val="24"/>
        </w:rPr>
        <w:t xml:space="preserve">číslo </w:t>
      </w:r>
      <w:r w:rsidR="002E44E3">
        <w:rPr>
          <w:b/>
          <w:sz w:val="24"/>
        </w:rPr>
        <w:t>1</w:t>
      </w:r>
      <w:r>
        <w:rPr>
          <w:b/>
          <w:sz w:val="24"/>
        </w:rPr>
        <w:t xml:space="preserve">/2020 </w:t>
      </w:r>
    </w:p>
    <w:p w:rsidR="00D800AA" w:rsidRDefault="00680C14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0" w:line="259" w:lineRule="auto"/>
        <w:ind w:right="59"/>
        <w:jc w:val="center"/>
      </w:pPr>
      <w:r>
        <w:rPr>
          <w:b/>
          <w:sz w:val="24"/>
        </w:rPr>
        <w:t xml:space="preserve">O OCHRANNOM PÁSME POHREBISKA V OBCI </w:t>
      </w:r>
    </w:p>
    <w:p w:rsidR="00D800AA" w:rsidRDefault="00680C14">
      <w:pPr>
        <w:spacing w:after="20" w:line="259" w:lineRule="auto"/>
        <w:ind w:left="0" w:right="2" w:firstLine="0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87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67" w:line="259" w:lineRule="auto"/>
        <w:ind w:right="58"/>
        <w:jc w:val="center"/>
      </w:pPr>
      <w:r>
        <w:rPr>
          <w:b/>
          <w:sz w:val="24"/>
        </w:rPr>
        <w:t xml:space="preserve">ČLÁNOK I. </w:t>
      </w:r>
    </w:p>
    <w:p w:rsidR="00D800AA" w:rsidRDefault="00680C14">
      <w:pPr>
        <w:pStyle w:val="Nadpis2"/>
        <w:ind w:right="56"/>
      </w:pPr>
      <w:r>
        <w:t xml:space="preserve">ÚVODNÉ A VŠEOBECNÉ USTANOVENIA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49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58" w:line="266" w:lineRule="auto"/>
        <w:ind w:left="4156" w:right="4202"/>
        <w:jc w:val="center"/>
      </w:pPr>
      <w:r>
        <w:t xml:space="preserve">§1 </w:t>
      </w:r>
    </w:p>
    <w:p w:rsidR="00D800AA" w:rsidRDefault="00680C14">
      <w:pPr>
        <w:pStyle w:val="Nadpis3"/>
      </w:pPr>
      <w:r>
        <w:t xml:space="preserve">Predmet úpravy </w:t>
      </w:r>
    </w:p>
    <w:p w:rsidR="00D800AA" w:rsidRDefault="00680C14">
      <w:pPr>
        <w:spacing w:after="52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D800AA" w:rsidRDefault="00680C14" w:rsidP="00AB0D5B">
      <w:pPr>
        <w:ind w:left="0" w:right="44"/>
      </w:pPr>
      <w:r>
        <w:t xml:space="preserve">Všeobecne záväzné  nariadenie  obce (ďalej aj </w:t>
      </w:r>
      <w:r>
        <w:rPr>
          <w:i/>
        </w:rPr>
        <w:t>„nariadenie“</w:t>
      </w:r>
      <w:r>
        <w:t xml:space="preserve">) ustanovuje ochranné pásmo pohrebiska zriadeného na území obce </w:t>
      </w:r>
      <w:r w:rsidR="002E44E3">
        <w:t>Renčišov</w:t>
      </w:r>
      <w:r>
        <w:t xml:space="preserve"> (ďalej aj </w:t>
      </w:r>
      <w:r>
        <w:rPr>
          <w:i/>
        </w:rPr>
        <w:t>„obec“</w:t>
      </w:r>
      <w:r>
        <w:t xml:space="preserve">), určuje šírku ochranného pásma pohrebiska, pravidlá umiestňovania a povoľovania budov a stavieb v ochrannom pásme pohrebiska a činnosti, ktoré nie je možné vykonávať v ochrannom pásme počas pohrebu.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49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61" w:line="266" w:lineRule="auto"/>
        <w:ind w:left="4156" w:right="4202"/>
        <w:jc w:val="center"/>
      </w:pPr>
      <w:r>
        <w:t xml:space="preserve">§2 </w:t>
      </w:r>
    </w:p>
    <w:p w:rsidR="00D800AA" w:rsidRDefault="00680C14">
      <w:pPr>
        <w:pStyle w:val="Nadpis3"/>
        <w:ind w:right="54"/>
      </w:pPr>
      <w:r>
        <w:t xml:space="preserve">Základné ustanovenia </w:t>
      </w:r>
    </w:p>
    <w:p w:rsidR="00D800AA" w:rsidRDefault="00680C14">
      <w:pPr>
        <w:spacing w:after="58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numPr>
          <w:ilvl w:val="0"/>
          <w:numId w:val="1"/>
        </w:numPr>
        <w:ind w:left="284" w:right="44" w:hanging="284"/>
      </w:pPr>
      <w:r>
        <w:t xml:space="preserve">Obec </w:t>
      </w:r>
      <w:r w:rsidR="002E44E3">
        <w:t>Renčišov</w:t>
      </w:r>
      <w:r>
        <w:t xml:space="preserve"> je zriaďovateľom verejn</w:t>
      </w:r>
      <w:r w:rsidR="002E44E3">
        <w:t>ého</w:t>
      </w:r>
      <w:r>
        <w:t xml:space="preserve"> pohreb</w:t>
      </w:r>
      <w:r w:rsidR="002E44E3">
        <w:t>iska</w:t>
      </w:r>
      <w:r>
        <w:t xml:space="preserve"> na území obce </w:t>
      </w:r>
      <w:r w:rsidR="002E44E3">
        <w:t>Renčišov</w:t>
      </w:r>
      <w:r>
        <w:t xml:space="preserve"> </w:t>
      </w:r>
    </w:p>
    <w:p w:rsidR="00D800AA" w:rsidRDefault="00680C14" w:rsidP="00AB0D5B">
      <w:pPr>
        <w:numPr>
          <w:ilvl w:val="1"/>
          <w:numId w:val="1"/>
        </w:numPr>
        <w:ind w:left="284" w:right="44" w:hanging="284"/>
      </w:pPr>
      <w:r>
        <w:t xml:space="preserve">cintorín (ďalej aj </w:t>
      </w:r>
      <w:r>
        <w:rPr>
          <w:i/>
        </w:rPr>
        <w:t>„pohrebisko“</w:t>
      </w:r>
      <w:r>
        <w:t>)</w:t>
      </w:r>
      <w:r w:rsidR="002E44E3">
        <w:t>.</w:t>
      </w:r>
      <w:r>
        <w:t xml:space="preserve"> </w:t>
      </w:r>
    </w:p>
    <w:p w:rsidR="00D800AA" w:rsidRDefault="00D800AA" w:rsidP="00AB0D5B">
      <w:pPr>
        <w:spacing w:after="52" w:line="259" w:lineRule="auto"/>
        <w:ind w:left="284" w:right="0" w:hanging="284"/>
        <w:jc w:val="left"/>
      </w:pPr>
    </w:p>
    <w:p w:rsidR="00D800AA" w:rsidRDefault="00680C14" w:rsidP="00AB0D5B">
      <w:pPr>
        <w:numPr>
          <w:ilvl w:val="0"/>
          <w:numId w:val="1"/>
        </w:numPr>
        <w:ind w:left="284" w:right="44" w:hanging="284"/>
      </w:pPr>
      <w:r>
        <w:t xml:space="preserve">Verejné pohrebiská sú zriadené obcou </w:t>
      </w:r>
      <w:r w:rsidR="002E44E3">
        <w:t>Renčišov</w:t>
      </w:r>
      <w:r>
        <w:t xml:space="preserve"> pri výkone samosprávy a obec ich sama prevádzkuje.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 w:rsidP="00AB0D5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67" w:line="259" w:lineRule="auto"/>
        <w:ind w:right="61"/>
        <w:jc w:val="center"/>
      </w:pPr>
      <w:r>
        <w:rPr>
          <w:b/>
          <w:sz w:val="24"/>
        </w:rPr>
        <w:t xml:space="preserve">ČLÁNOK II. </w:t>
      </w:r>
    </w:p>
    <w:p w:rsidR="00D800AA" w:rsidRDefault="00680C14">
      <w:pPr>
        <w:pStyle w:val="Nadpis2"/>
        <w:ind w:right="59"/>
      </w:pPr>
      <w:r>
        <w:t xml:space="preserve">OCHRANNÉ PÁSMO POHREBISKA </w:t>
      </w:r>
    </w:p>
    <w:p w:rsidR="00D800AA" w:rsidRDefault="00680C14">
      <w:pPr>
        <w:spacing w:after="17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32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47" w:line="266" w:lineRule="auto"/>
        <w:ind w:left="4156" w:right="4201"/>
        <w:jc w:val="center"/>
      </w:pPr>
      <w:r>
        <w:t xml:space="preserve">§3 </w:t>
      </w:r>
    </w:p>
    <w:p w:rsidR="00D800AA" w:rsidRDefault="00680C14">
      <w:pPr>
        <w:pStyle w:val="Nadpis3"/>
        <w:ind w:right="53"/>
      </w:pPr>
      <w:r>
        <w:t xml:space="preserve">Ustanovenie ochranného pásma pohrebiska </w:t>
      </w:r>
    </w:p>
    <w:p w:rsidR="00D800AA" w:rsidRDefault="00680C14">
      <w:pPr>
        <w:spacing w:after="38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p w:rsidR="00D800AA" w:rsidRDefault="00680C14" w:rsidP="00AB0D5B">
      <w:pPr>
        <w:ind w:left="284" w:right="44" w:hanging="284"/>
      </w:pPr>
      <w:r>
        <w:t xml:space="preserve">Obec ustanovuje ochranné pásmo pohrebísk a určuje jeho šírku v celom obvode  v rozsahu: </w:t>
      </w:r>
      <w:r>
        <w:rPr>
          <w:color w:val="FF0000"/>
        </w:rPr>
        <w:t xml:space="preserve"> </w:t>
      </w:r>
    </w:p>
    <w:p w:rsidR="00D800AA" w:rsidRDefault="002E44E3" w:rsidP="00AB0D5B">
      <w:pPr>
        <w:numPr>
          <w:ilvl w:val="0"/>
          <w:numId w:val="2"/>
        </w:numPr>
        <w:ind w:left="284" w:right="44" w:hanging="284"/>
      </w:pPr>
      <w:r>
        <w:t>5</w:t>
      </w:r>
      <w:r w:rsidR="00680C14">
        <w:t xml:space="preserve"> m od hranice pozemku cintorína. </w:t>
      </w:r>
    </w:p>
    <w:p w:rsidR="00D800AA" w:rsidRDefault="00680C14" w:rsidP="00AB0D5B">
      <w:pPr>
        <w:spacing w:after="17" w:line="259" w:lineRule="auto"/>
        <w:ind w:left="283" w:right="0" w:firstLine="0"/>
        <w:jc w:val="center"/>
      </w:pPr>
      <w:r>
        <w:lastRenderedPageBreak/>
        <w:t>§4</w:t>
      </w:r>
    </w:p>
    <w:p w:rsidR="00D800AA" w:rsidRDefault="00680C14">
      <w:pPr>
        <w:spacing w:after="9" w:line="259" w:lineRule="auto"/>
        <w:ind w:left="84" w:right="0"/>
        <w:jc w:val="left"/>
      </w:pPr>
      <w:r>
        <w:rPr>
          <w:b/>
        </w:rPr>
        <w:t xml:space="preserve">Pravidlá pre umiestňovanie a povoľovanie budov a  stavieb v ochrannom pásme pohrebiska </w:t>
      </w:r>
    </w:p>
    <w:p w:rsidR="00D800AA" w:rsidRDefault="00680C14">
      <w:pPr>
        <w:spacing w:after="58" w:line="259" w:lineRule="auto"/>
        <w:ind w:left="283" w:right="0" w:firstLine="0"/>
        <w:jc w:val="left"/>
      </w:pPr>
      <w:r>
        <w:t xml:space="preserve"> </w:t>
      </w:r>
    </w:p>
    <w:p w:rsidR="00D800AA" w:rsidRDefault="00680C14" w:rsidP="00AB0D5B">
      <w:pPr>
        <w:numPr>
          <w:ilvl w:val="0"/>
          <w:numId w:val="3"/>
        </w:numPr>
        <w:ind w:left="284" w:right="44" w:hanging="284"/>
      </w:pPr>
      <w:r>
        <w:t xml:space="preserve">V ochrannom pásme pohrebiska nie je možné umiestniť a nie je možné povoliť žiadne budovy, s výnimkou budov, ktoré svojim účelovým určením priamo súvisia s prevádzkou pohrebníctva a s prevádzkou služieb súvisiacich s pohrebom.  </w:t>
      </w:r>
    </w:p>
    <w:p w:rsidR="00D800AA" w:rsidRDefault="00680C14" w:rsidP="00AB0D5B">
      <w:pPr>
        <w:spacing w:after="53" w:line="259" w:lineRule="auto"/>
        <w:ind w:left="284" w:right="0" w:hanging="284"/>
        <w:jc w:val="left"/>
      </w:pPr>
      <w:r>
        <w:t xml:space="preserve"> </w:t>
      </w:r>
    </w:p>
    <w:p w:rsidR="00D800AA" w:rsidRDefault="00680C14" w:rsidP="00AB0D5B">
      <w:pPr>
        <w:numPr>
          <w:ilvl w:val="0"/>
          <w:numId w:val="3"/>
        </w:numPr>
        <w:ind w:left="284" w:right="44" w:hanging="284"/>
      </w:pPr>
      <w:r>
        <w:t xml:space="preserve">V ochrannom pásme pohrebiska nie je možné umiestniť a nie je možné povoliť stavby, ktoré svojim účelovým určením, vzhľadom, charakterom, alebo iným spôsobom môžu narúšať pietny charakter pohrebiska.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51" w:line="259" w:lineRule="auto"/>
        <w:ind w:left="283" w:right="0" w:firstLine="0"/>
        <w:jc w:val="left"/>
      </w:pPr>
      <w:r>
        <w:t xml:space="preserve"> </w:t>
      </w:r>
    </w:p>
    <w:p w:rsidR="00D800AA" w:rsidRDefault="00680C14">
      <w:pPr>
        <w:spacing w:after="55" w:line="266" w:lineRule="auto"/>
        <w:ind w:left="4156" w:right="4202"/>
        <w:jc w:val="center"/>
      </w:pPr>
      <w:r>
        <w:t xml:space="preserve">§5 </w:t>
      </w:r>
    </w:p>
    <w:p w:rsidR="00D800AA" w:rsidRDefault="00680C14" w:rsidP="00AB0D5B">
      <w:pPr>
        <w:spacing w:after="9" w:line="259" w:lineRule="auto"/>
        <w:ind w:left="0" w:right="0"/>
        <w:jc w:val="left"/>
      </w:pPr>
      <w:r>
        <w:rPr>
          <w:b/>
        </w:rPr>
        <w:t xml:space="preserve">Činnosti, ktoré nie je možné vykonávať počas pohrebu v ochrannom pásme pohrebiska </w:t>
      </w:r>
    </w:p>
    <w:p w:rsidR="00D800AA" w:rsidRDefault="00680C14">
      <w:pPr>
        <w:spacing w:after="57" w:line="259" w:lineRule="auto"/>
        <w:ind w:left="283" w:right="0" w:firstLine="0"/>
        <w:jc w:val="left"/>
      </w:pPr>
      <w:r>
        <w:t xml:space="preserve"> </w:t>
      </w:r>
    </w:p>
    <w:p w:rsidR="00D800AA" w:rsidRDefault="00680C14" w:rsidP="00AB0D5B">
      <w:pPr>
        <w:numPr>
          <w:ilvl w:val="0"/>
          <w:numId w:val="4"/>
        </w:numPr>
        <w:ind w:left="284" w:right="44" w:hanging="284"/>
      </w:pPr>
      <w:r>
        <w:t xml:space="preserve">V ochrannom pásme pohrebiska je počas pohrebu, so zreteľom na pietu zakázané:  </w:t>
      </w:r>
    </w:p>
    <w:p w:rsidR="00D800AA" w:rsidRDefault="00680C14" w:rsidP="00AB0D5B">
      <w:pPr>
        <w:numPr>
          <w:ilvl w:val="1"/>
          <w:numId w:val="4"/>
        </w:numPr>
        <w:ind w:left="284" w:right="44" w:hanging="284"/>
      </w:pPr>
      <w:r>
        <w:t xml:space="preserve">vykonávať stavebné, </w:t>
      </w:r>
      <w:proofErr w:type="spellStart"/>
      <w:r>
        <w:t>búračské</w:t>
      </w:r>
      <w:proofErr w:type="spellEnd"/>
      <w:r>
        <w:t xml:space="preserve"> práce a obdobné práce, práce s použitím stavebných a obdobných zariadení, strojov, nástrojov a náradia, </w:t>
      </w:r>
    </w:p>
    <w:p w:rsidR="00D800AA" w:rsidRDefault="00680C14" w:rsidP="00AB0D5B">
      <w:pPr>
        <w:numPr>
          <w:ilvl w:val="1"/>
          <w:numId w:val="4"/>
        </w:numPr>
        <w:ind w:left="284" w:right="44" w:hanging="284"/>
      </w:pPr>
      <w:r>
        <w:t xml:space="preserve">vykonávať údržbárske práce komunikácií, verejných priestranstiev, budov, verejnej zelene s použitím zariadení, strojov a nástrojov, </w:t>
      </w:r>
    </w:p>
    <w:p w:rsidR="00D800AA" w:rsidRDefault="00680C14" w:rsidP="00AB0D5B">
      <w:pPr>
        <w:numPr>
          <w:ilvl w:val="1"/>
          <w:numId w:val="4"/>
        </w:numPr>
        <w:ind w:left="284" w:right="44" w:hanging="284"/>
      </w:pPr>
      <w:r>
        <w:t xml:space="preserve">vykonávať poľnohospodárske činnosti s použitím strojov, motorových vozidiel a obdobných zariadení, </w:t>
      </w:r>
    </w:p>
    <w:p w:rsidR="00D800AA" w:rsidRDefault="00680C14" w:rsidP="00AB0D5B">
      <w:pPr>
        <w:numPr>
          <w:ilvl w:val="1"/>
          <w:numId w:val="4"/>
        </w:numPr>
        <w:ind w:left="284" w:right="44" w:hanging="284"/>
      </w:pPr>
      <w:r>
        <w:t xml:space="preserve">vykonávať činnosti, ktoré rušia pohreb hlukom, krikom, spevom, produkciou hudby, vibráciami, svetelnými, laserovými a obdobnými efektmi, nad mieru primeranú pietnemu charakteru pohrebu, </w:t>
      </w:r>
    </w:p>
    <w:p w:rsidR="00D800AA" w:rsidRDefault="00680C14" w:rsidP="00AB0D5B">
      <w:pPr>
        <w:numPr>
          <w:ilvl w:val="1"/>
          <w:numId w:val="4"/>
        </w:numPr>
        <w:ind w:left="284" w:right="44" w:hanging="284"/>
      </w:pPr>
      <w:r>
        <w:t xml:space="preserve">uskutočniť zhromaždenie, alebo podujatie spojené s produkciou hudby, alebo hovoreného slova.   </w:t>
      </w:r>
    </w:p>
    <w:p w:rsidR="00D800AA" w:rsidRDefault="00680C14" w:rsidP="00AB0D5B">
      <w:pPr>
        <w:spacing w:after="59" w:line="259" w:lineRule="auto"/>
        <w:ind w:left="284" w:right="0" w:hanging="284"/>
        <w:jc w:val="left"/>
      </w:pPr>
      <w:r>
        <w:t xml:space="preserve"> </w:t>
      </w:r>
    </w:p>
    <w:p w:rsidR="00D800AA" w:rsidRDefault="00680C14" w:rsidP="00AB0D5B">
      <w:pPr>
        <w:numPr>
          <w:ilvl w:val="0"/>
          <w:numId w:val="4"/>
        </w:numPr>
        <w:ind w:left="284" w:right="44" w:hanging="284"/>
      </w:pPr>
      <w:r>
        <w:t xml:space="preserve">Obmedzenia upravené ustanovením odseku (1) sa nevzťahujú na vykonávanie, alebo vykonanie činností priamo súvisiacich so záchranou zdravia, života, ochranou majetku a so zamedzením hroziacej škody v nevyhnutnom rozsahu. </w:t>
      </w:r>
    </w:p>
    <w:p w:rsidR="00D800AA" w:rsidRDefault="00680C14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65" w:line="259" w:lineRule="auto"/>
        <w:ind w:right="59"/>
        <w:jc w:val="center"/>
      </w:pPr>
      <w:r>
        <w:rPr>
          <w:b/>
          <w:sz w:val="24"/>
        </w:rPr>
        <w:t xml:space="preserve">ČLÁNOK III. </w:t>
      </w:r>
    </w:p>
    <w:p w:rsidR="00D800AA" w:rsidRDefault="00680C14">
      <w:pPr>
        <w:pStyle w:val="Nadpis2"/>
        <w:ind w:right="57"/>
      </w:pPr>
      <w:r>
        <w:t>KONTROLA DODRŽIAVANIA NARIADENIA  A SANKCIE ZA PORUŠENIE USTANOVENÍ NARIADENIA</w:t>
      </w:r>
      <w:r>
        <w:rPr>
          <w:sz w:val="22"/>
        </w:rP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32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9" w:line="266" w:lineRule="auto"/>
        <w:ind w:left="4156" w:right="4201"/>
        <w:jc w:val="center"/>
      </w:pPr>
      <w:r>
        <w:t xml:space="preserve">§6 </w:t>
      </w:r>
    </w:p>
    <w:p w:rsidR="00D800AA" w:rsidRDefault="00680C14">
      <w:pPr>
        <w:spacing w:after="60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ind w:left="0" w:right="44"/>
      </w:pPr>
      <w:r>
        <w:t xml:space="preserve">Kontrolu dodržiavania ustanovení tohto nariadenia vykonáva obec.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9" w:line="266" w:lineRule="auto"/>
        <w:ind w:left="4156" w:right="4201"/>
        <w:jc w:val="center"/>
      </w:pPr>
      <w:r>
        <w:t xml:space="preserve">§7 </w:t>
      </w:r>
    </w:p>
    <w:p w:rsidR="00D800AA" w:rsidRDefault="00680C14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D800AA" w:rsidRDefault="00680C14" w:rsidP="00AB0D5B">
      <w:pPr>
        <w:ind w:left="0" w:right="44"/>
      </w:pPr>
      <w:r>
        <w:t>Pri porušení ustanovení nariadenia obec postupuje v súlade s ustanoveniami osobitných predpisov.</w:t>
      </w:r>
      <w:r>
        <w:rPr>
          <w:vertAlign w:val="superscript"/>
        </w:rPr>
        <w:footnoteReference w:id="1"/>
      </w:r>
      <w:r>
        <w:t xml:space="preserve"> </w:t>
      </w:r>
    </w:p>
    <w:p w:rsidR="00D800AA" w:rsidRDefault="00D800AA">
      <w:pPr>
        <w:spacing w:after="17" w:line="259" w:lineRule="auto"/>
        <w:ind w:left="0" w:right="0" w:firstLine="0"/>
        <w:jc w:val="left"/>
      </w:pPr>
    </w:p>
    <w:p w:rsidR="00D800AA" w:rsidRDefault="00680C14" w:rsidP="00AB0D5B">
      <w:pPr>
        <w:spacing w:after="87" w:line="259" w:lineRule="auto"/>
        <w:ind w:left="0" w:right="0" w:firstLine="0"/>
        <w:jc w:val="center"/>
      </w:pPr>
      <w:r>
        <w:rPr>
          <w:b/>
          <w:sz w:val="24"/>
        </w:rPr>
        <w:lastRenderedPageBreak/>
        <w:t>ČLÁNOK IV.</w:t>
      </w:r>
    </w:p>
    <w:p w:rsidR="00D800AA" w:rsidRDefault="00680C14">
      <w:pPr>
        <w:pStyle w:val="Nadpis2"/>
        <w:ind w:right="56"/>
      </w:pPr>
      <w:r>
        <w:t xml:space="preserve">ZÁVEREČNÉ USTANOVENIA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34" w:line="259" w:lineRule="auto"/>
        <w:ind w:left="0" w:right="0" w:firstLine="0"/>
        <w:jc w:val="center"/>
      </w:pPr>
      <w:r>
        <w:t xml:space="preserve"> </w:t>
      </w:r>
    </w:p>
    <w:p w:rsidR="00D800AA" w:rsidRDefault="00680C14">
      <w:pPr>
        <w:spacing w:after="9" w:line="266" w:lineRule="auto"/>
        <w:ind w:left="4156" w:right="4201"/>
        <w:jc w:val="center"/>
      </w:pPr>
      <w:r>
        <w:t xml:space="preserve">§8 </w:t>
      </w:r>
    </w:p>
    <w:p w:rsidR="00D800AA" w:rsidRDefault="00680C14">
      <w:pPr>
        <w:spacing w:after="56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ind w:left="0" w:right="44"/>
      </w:pPr>
      <w:r>
        <w:t>Návrh Všeobecne záväzného nariadenia bol zverejnený na úradnej tabuli o</w:t>
      </w:r>
      <w:r w:rsidR="008F036A">
        <w:t xml:space="preserve">bce a na webovom sídle obce od 20. 02. 2020 </w:t>
      </w:r>
      <w:r>
        <w:t>do</w:t>
      </w:r>
      <w:r w:rsidR="008F036A">
        <w:t xml:space="preserve"> 06. 03. 2020.</w:t>
      </w:r>
      <w:r>
        <w:rPr>
          <w:b/>
        </w:rPr>
        <w:t xml:space="preserve"> </w:t>
      </w:r>
    </w:p>
    <w:p w:rsidR="00D800AA" w:rsidRDefault="00680C14" w:rsidP="00AB0D5B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spacing w:after="32" w:line="259" w:lineRule="auto"/>
        <w:ind w:left="0" w:right="0" w:firstLine="0"/>
        <w:jc w:val="center"/>
      </w:pPr>
      <w:r>
        <w:t xml:space="preserve"> </w:t>
      </w:r>
    </w:p>
    <w:p w:rsidR="00D800AA" w:rsidRDefault="00AB0D5B" w:rsidP="00AB0D5B">
      <w:pPr>
        <w:spacing w:after="9" w:line="266" w:lineRule="auto"/>
        <w:ind w:left="0" w:right="4201"/>
        <w:jc w:val="center"/>
      </w:pPr>
      <w:r>
        <w:t xml:space="preserve">                                                                          </w:t>
      </w:r>
      <w:r w:rsidR="00680C14">
        <w:t xml:space="preserve">§9 </w:t>
      </w:r>
    </w:p>
    <w:p w:rsidR="00D800AA" w:rsidRDefault="00680C14" w:rsidP="00AB0D5B">
      <w:pPr>
        <w:spacing w:after="56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ind w:left="0" w:right="44"/>
      </w:pPr>
      <w:r>
        <w:t xml:space="preserve">Na Všeobecne záväznom nariadení sa uznieslo Obecné zastupiteľstvo obce </w:t>
      </w:r>
      <w:r w:rsidR="002E44E3">
        <w:t>Renčišov</w:t>
      </w:r>
      <w:r>
        <w:t xml:space="preserve"> na svojom zasadnutí dňa </w:t>
      </w:r>
      <w:r w:rsidR="008F036A">
        <w:t xml:space="preserve">07. 03. </w:t>
      </w:r>
      <w:r>
        <w:t xml:space="preserve">2020.  </w:t>
      </w:r>
    </w:p>
    <w:p w:rsidR="00D800AA" w:rsidRDefault="00680C14" w:rsidP="00AB0D5B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spacing w:after="27" w:line="259" w:lineRule="auto"/>
        <w:ind w:left="0" w:right="0" w:firstLine="0"/>
        <w:jc w:val="center"/>
      </w:pPr>
      <w:r>
        <w:t xml:space="preserve"> </w:t>
      </w:r>
    </w:p>
    <w:p w:rsidR="00D800AA" w:rsidRDefault="00AB0D5B" w:rsidP="00AB0D5B">
      <w:pPr>
        <w:spacing w:after="9" w:line="266" w:lineRule="auto"/>
        <w:ind w:left="0" w:right="4202"/>
        <w:jc w:val="center"/>
      </w:pPr>
      <w:r>
        <w:t xml:space="preserve">                                                                          </w:t>
      </w:r>
      <w:r w:rsidR="00680C14">
        <w:t xml:space="preserve">§10 </w:t>
      </w:r>
    </w:p>
    <w:p w:rsidR="00D800AA" w:rsidRDefault="00680C14" w:rsidP="00AB0D5B">
      <w:pPr>
        <w:spacing w:after="57" w:line="259" w:lineRule="auto"/>
        <w:ind w:left="0" w:right="0" w:firstLine="0"/>
        <w:jc w:val="center"/>
      </w:pPr>
      <w:r>
        <w:t xml:space="preserve"> </w:t>
      </w:r>
    </w:p>
    <w:p w:rsidR="00D800AA" w:rsidRDefault="00680C14" w:rsidP="00AB0D5B">
      <w:pPr>
        <w:ind w:left="0" w:right="44"/>
      </w:pPr>
      <w:r>
        <w:t xml:space="preserve">Všeobecne záväzné nariadenie bolo vyhlásené vyvesením na úradnej tabuli obce a zverejnené na webovom sídle obce dňa </w:t>
      </w:r>
      <w:r w:rsidR="008F036A">
        <w:t>08. 03. 2020.</w:t>
      </w: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center"/>
      </w:pPr>
      <w:r>
        <w:t xml:space="preserve"> </w:t>
      </w:r>
    </w:p>
    <w:p w:rsidR="00D800AA" w:rsidRDefault="00D800AA">
      <w:pPr>
        <w:spacing w:after="27" w:line="259" w:lineRule="auto"/>
        <w:ind w:left="0" w:right="0" w:firstLine="0"/>
        <w:jc w:val="center"/>
      </w:pPr>
    </w:p>
    <w:p w:rsidR="00D800AA" w:rsidRDefault="00680C14">
      <w:pPr>
        <w:spacing w:after="9" w:line="266" w:lineRule="auto"/>
        <w:ind w:left="4156" w:right="4202"/>
        <w:jc w:val="center"/>
      </w:pPr>
      <w:r>
        <w:t xml:space="preserve">§11 </w:t>
      </w:r>
    </w:p>
    <w:p w:rsidR="00D800AA" w:rsidRDefault="00680C14">
      <w:pPr>
        <w:spacing w:after="54" w:line="259" w:lineRule="auto"/>
        <w:ind w:left="0" w:right="0" w:firstLine="0"/>
        <w:jc w:val="center"/>
      </w:pPr>
      <w:r>
        <w:t xml:space="preserve"> </w:t>
      </w:r>
      <w:bookmarkStart w:id="0" w:name="_GoBack"/>
      <w:bookmarkEnd w:id="0"/>
    </w:p>
    <w:p w:rsidR="00D800AA" w:rsidRDefault="00680C14" w:rsidP="00AB0D5B">
      <w:pPr>
        <w:ind w:left="0" w:right="44"/>
      </w:pPr>
      <w:r>
        <w:t>Všeobecne záväzné nariadenie nadobúda účinnosť dňa</w:t>
      </w:r>
      <w:r w:rsidR="008F036A">
        <w:t xml:space="preserve"> 24. 03. </w:t>
      </w:r>
      <w:r>
        <w:t xml:space="preserve"> 2020 (alebo 15-tym dňom od vyvesenia). </w:t>
      </w:r>
    </w:p>
    <w:p w:rsidR="00D800AA" w:rsidRDefault="00680C14">
      <w:pPr>
        <w:spacing w:after="14" w:line="259" w:lineRule="auto"/>
        <w:ind w:left="852" w:right="0" w:firstLine="0"/>
        <w:jc w:val="left"/>
      </w:pPr>
      <w:r>
        <w:t xml:space="preserve"> </w:t>
      </w:r>
    </w:p>
    <w:p w:rsidR="00D800AA" w:rsidRDefault="00680C14">
      <w:pPr>
        <w:spacing w:after="17" w:line="259" w:lineRule="auto"/>
        <w:ind w:left="852" w:right="0" w:firstLine="0"/>
        <w:jc w:val="left"/>
      </w:pPr>
      <w:r>
        <w:t xml:space="preserve"> </w:t>
      </w:r>
    </w:p>
    <w:p w:rsidR="00AB0D5B" w:rsidRDefault="00AB0D5B">
      <w:pPr>
        <w:spacing w:after="17" w:line="259" w:lineRule="auto"/>
        <w:ind w:left="852" w:right="0" w:firstLine="0"/>
        <w:jc w:val="left"/>
      </w:pPr>
    </w:p>
    <w:p w:rsidR="00AB0D5B" w:rsidRDefault="00AB0D5B">
      <w:pPr>
        <w:spacing w:after="17" w:line="259" w:lineRule="auto"/>
        <w:ind w:left="852" w:right="0" w:firstLine="0"/>
        <w:jc w:val="left"/>
      </w:pPr>
    </w:p>
    <w:p w:rsidR="00AB0D5B" w:rsidRDefault="00AB0D5B">
      <w:pPr>
        <w:spacing w:after="17" w:line="259" w:lineRule="auto"/>
        <w:ind w:left="852" w:right="0" w:firstLine="0"/>
        <w:jc w:val="left"/>
      </w:pPr>
    </w:p>
    <w:p w:rsidR="00AB0D5B" w:rsidRDefault="00AB0D5B">
      <w:pPr>
        <w:spacing w:after="17" w:line="259" w:lineRule="auto"/>
        <w:ind w:left="852" w:right="0" w:firstLine="0"/>
        <w:jc w:val="left"/>
      </w:pPr>
    </w:p>
    <w:p w:rsidR="00AB0D5B" w:rsidRDefault="00AB0D5B">
      <w:pPr>
        <w:spacing w:after="17" w:line="259" w:lineRule="auto"/>
        <w:ind w:left="852" w:right="0" w:firstLine="0"/>
        <w:jc w:val="left"/>
      </w:pPr>
    </w:p>
    <w:p w:rsidR="00D800AA" w:rsidRDefault="00680C14">
      <w:pPr>
        <w:spacing w:after="14" w:line="259" w:lineRule="auto"/>
        <w:ind w:left="852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4253" w:right="0" w:firstLine="0"/>
        <w:jc w:val="left"/>
      </w:pPr>
      <w:r>
        <w:t xml:space="preserve">                                                                  </w:t>
      </w:r>
    </w:p>
    <w:p w:rsidR="00D800AA" w:rsidRDefault="00680C14">
      <w:pPr>
        <w:ind w:left="4263" w:right="44"/>
      </w:pPr>
      <w:r>
        <w:t xml:space="preserve">______________________________ </w:t>
      </w:r>
    </w:p>
    <w:p w:rsidR="002E44E3" w:rsidRDefault="00AB0D5B" w:rsidP="00AB0D5B">
      <w:pPr>
        <w:spacing w:after="9" w:line="266" w:lineRule="auto"/>
        <w:ind w:left="4156" w:right="1145"/>
      </w:pPr>
      <w:r>
        <w:t xml:space="preserve">                 </w:t>
      </w:r>
      <w:r w:rsidR="002E44E3">
        <w:t xml:space="preserve">Miroslav </w:t>
      </w:r>
      <w:proofErr w:type="spellStart"/>
      <w:r w:rsidR="002E44E3">
        <w:t>Paločko</w:t>
      </w:r>
      <w:proofErr w:type="spellEnd"/>
    </w:p>
    <w:p w:rsidR="00D800AA" w:rsidRDefault="00AB0D5B" w:rsidP="00AB0D5B">
      <w:pPr>
        <w:spacing w:after="9" w:line="266" w:lineRule="auto"/>
        <w:ind w:left="4156" w:right="1145"/>
      </w:pPr>
      <w:r>
        <w:t xml:space="preserve">                   </w:t>
      </w:r>
      <w:r w:rsidR="002E44E3">
        <w:t>starosta obce</w:t>
      </w:r>
      <w:r w:rsidR="00680C14">
        <w:t xml:space="preserve"> </w:t>
      </w:r>
    </w:p>
    <w:p w:rsidR="00D800AA" w:rsidRDefault="00D800AA">
      <w:pPr>
        <w:spacing w:after="14" w:line="259" w:lineRule="auto"/>
        <w:ind w:left="0" w:right="0" w:firstLine="0"/>
        <w:jc w:val="left"/>
      </w:pP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680C14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D800AA" w:rsidRDefault="00AB0D5B">
      <w:pPr>
        <w:spacing w:after="17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130810</wp:posOffset>
                </wp:positionV>
                <wp:extent cx="6067425" cy="19050"/>
                <wp:effectExtent l="0" t="0" r="28575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E6364" id="Rovná spojnica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3pt" to="478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D800AA" w:rsidRDefault="00AB0D5B" w:rsidP="00AB0D5B">
      <w:pPr>
        <w:spacing w:after="14" w:line="259" w:lineRule="auto"/>
        <w:ind w:left="0" w:right="0" w:firstLine="0"/>
        <w:jc w:val="left"/>
      </w:pPr>
      <w:r>
        <w:rPr>
          <w:rStyle w:val="footnotemark"/>
        </w:rPr>
        <w:footnoteRef/>
      </w:r>
      <w:r>
        <w:t xml:space="preserve"> najmä zákon SNR č. 372/1990 Zb. o priestupkoch v znení neskorších predpisov, zákon o pohrebníctve  </w:t>
      </w:r>
      <w:r w:rsidR="00680C14">
        <w:t xml:space="preserve"> </w:t>
      </w:r>
    </w:p>
    <w:sectPr w:rsidR="00D800AA" w:rsidSect="00AB0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1076" w:bottom="70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DE" w:rsidRDefault="00FE5FDE">
      <w:pPr>
        <w:spacing w:after="0" w:line="240" w:lineRule="auto"/>
      </w:pPr>
      <w:r>
        <w:separator/>
      </w:r>
    </w:p>
  </w:endnote>
  <w:endnote w:type="continuationSeparator" w:id="0">
    <w:p w:rsidR="00FE5FDE" w:rsidRDefault="00FE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AA" w:rsidRDefault="00680C14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800AA" w:rsidRDefault="00680C1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AA" w:rsidRDefault="00680C14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36A">
      <w:rPr>
        <w:noProof/>
      </w:rPr>
      <w:t>4</w:t>
    </w:r>
    <w:r>
      <w:fldChar w:fldCharType="end"/>
    </w:r>
    <w:r>
      <w:t xml:space="preserve"> </w:t>
    </w:r>
  </w:p>
  <w:p w:rsidR="00D800AA" w:rsidRDefault="00680C1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AA" w:rsidRDefault="00D800A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DE" w:rsidRDefault="00FE5FD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FE5FDE" w:rsidRDefault="00FE5FDE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D800AA" w:rsidRDefault="00D800AA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AA" w:rsidRDefault="00680C14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1311275</wp:posOffset>
          </wp:positionH>
          <wp:positionV relativeFrom="page">
            <wp:posOffset>484505</wp:posOffset>
          </wp:positionV>
          <wp:extent cx="389255" cy="447040"/>
          <wp:effectExtent l="0" t="0" r="0" b="0"/>
          <wp:wrapSquare wrapText="bothSides"/>
          <wp:docPr id="13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25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:rsidR="00D800AA" w:rsidRDefault="00680C14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color w:val="D0A800"/>
      </w:rPr>
      <w:t xml:space="preserve">            </w:t>
    </w:r>
    <w:r>
      <w:rPr>
        <w:rFonts w:ascii="Arial" w:eastAsia="Arial" w:hAnsi="Arial" w:cs="Arial"/>
        <w:b/>
        <w:color w:val="D0A800"/>
        <w:sz w:val="20"/>
      </w:rPr>
      <w:t>Obec  POPROČ</w:t>
    </w:r>
    <w:r>
      <w:rPr>
        <w:rFonts w:ascii="Arial" w:eastAsia="Arial" w:hAnsi="Arial" w:cs="Arial"/>
        <w:b/>
        <w:color w:val="D0A800"/>
      </w:rPr>
      <w:t xml:space="preserve"> </w:t>
    </w:r>
  </w:p>
  <w:p w:rsidR="00D800AA" w:rsidRDefault="00680C14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color w:val="000060"/>
        <w:sz w:val="16"/>
      </w:rPr>
      <w:t xml:space="preserve">                </w:t>
    </w:r>
    <w:r>
      <w:rPr>
        <w:rFonts w:ascii="Arial" w:eastAsia="Arial" w:hAnsi="Arial" w:cs="Arial"/>
        <w:b/>
        <w:color w:val="FF0000"/>
        <w:sz w:val="16"/>
      </w:rPr>
      <w:t>VZN O OCHRANNOM PÁSME POHREBISKA V OBCI</w:t>
    </w:r>
    <w:r>
      <w:rPr>
        <w:rFonts w:ascii="Arial" w:eastAsia="Arial" w:hAnsi="Arial" w:cs="Arial"/>
        <w:b/>
        <w:color w:val="000060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AA" w:rsidRDefault="00D800AA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AA" w:rsidRDefault="00D800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0D16"/>
    <w:multiLevelType w:val="hybridMultilevel"/>
    <w:tmpl w:val="5C2EC3CA"/>
    <w:lvl w:ilvl="0" w:tplc="CA4EA094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6ED8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0EBCE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8F00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264E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AA2F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2ED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662C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C88E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8061E9"/>
    <w:multiLevelType w:val="hybridMultilevel"/>
    <w:tmpl w:val="E800CAC2"/>
    <w:lvl w:ilvl="0" w:tplc="30DE1ACA">
      <w:start w:val="1"/>
      <w:numFmt w:val="decimal"/>
      <w:lvlText w:val="(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263AE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4059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AA36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2819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AB0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442B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2A31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84E0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3D184A"/>
    <w:multiLevelType w:val="hybridMultilevel"/>
    <w:tmpl w:val="FEFCBF72"/>
    <w:lvl w:ilvl="0" w:tplc="3272D0B2">
      <w:start w:val="1"/>
      <w:numFmt w:val="decimal"/>
      <w:lvlText w:val="(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05C3C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29C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A00B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2936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272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0C18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B0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0B4E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8B2760"/>
    <w:multiLevelType w:val="hybridMultilevel"/>
    <w:tmpl w:val="960E24B6"/>
    <w:lvl w:ilvl="0" w:tplc="C6487060">
      <w:start w:val="1"/>
      <w:numFmt w:val="decimal"/>
      <w:lvlText w:val="(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85D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6B2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8E7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45D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E23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414D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AE8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E35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AA"/>
    <w:rsid w:val="002E44E3"/>
    <w:rsid w:val="00680C14"/>
    <w:rsid w:val="008F036A"/>
    <w:rsid w:val="00AB0D5B"/>
    <w:rsid w:val="00D800AA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927B"/>
  <w15:docId w15:val="{F8C8715D-11CF-47CD-BDFD-9169F8DC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304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3"/>
      <w:ind w:left="10" w:right="56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user</cp:lastModifiedBy>
  <cp:revision>4</cp:revision>
  <dcterms:created xsi:type="dcterms:W3CDTF">2020-05-26T06:53:00Z</dcterms:created>
  <dcterms:modified xsi:type="dcterms:W3CDTF">2020-05-26T07:02:00Z</dcterms:modified>
</cp:coreProperties>
</file>